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73C31" w14:textId="77777777" w:rsidR="00FA299A" w:rsidRDefault="00000000">
      <w:pPr>
        <w:pStyle w:val="af2"/>
        <w:spacing w:after="360" w:line="360" w:lineRule="auto"/>
        <w:jc w:val="center"/>
      </w:pPr>
      <w:r>
        <w:rPr>
          <w:rFonts w:ascii="Times New Roman" w:eastAsia="黑体" w:hAnsi="Times New Roman"/>
          <w:b/>
          <w:color w:val="000000"/>
          <w:sz w:val="36"/>
        </w:rPr>
        <w:t>大型软件项目安装调试计划</w:t>
      </w:r>
    </w:p>
    <w:p w14:paraId="0FCCC778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一、计划总则</w:t>
      </w:r>
    </w:p>
    <w:p w14:paraId="3E0D0BC1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（一）目的</w:t>
      </w:r>
    </w:p>
    <w:p w14:paraId="1588B7B1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本计划用于规范大型软件项目现场部署、安装、配置、联调、测试、问题闭环及移交全过程，保障系统按既定要求稳定上线，明确各方职责、阶段节点、交付物、风险及应急预案。</w:t>
      </w:r>
    </w:p>
    <w:p w14:paraId="38FBCD34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（二）适用范围</w:t>
      </w:r>
    </w:p>
    <w:p w14:paraId="2EFC1DC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本计划覆盖企业级业务系统、平台类软件等大型软件项目，包括带数据库、中间件、服务集群、多节点部署及对接第三方系统的软件，适用于：服务器环境预检、基础软件（操作系统、数据库、中间件、缓存、消息队列等）部署、应用软件安装、参数配置、接口对接调试、功能调试、性能调优、试运行、验收前整改及文档移交等环节。</w:t>
      </w:r>
    </w:p>
    <w:p w14:paraId="1910407B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（三）各方职责</w:t>
      </w:r>
    </w:p>
    <w:p w14:paraId="1F865D97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我方（实施方）：负责方案编制、安装部署、配置调试、问题排查、测试配合、操作培训、资料整理及整改闭环。</w:t>
      </w:r>
    </w:p>
    <w:p w14:paraId="00C1387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甲方（建设单位）：负责提供硬件或云资源、网络、权限、对接系统接口资料、业务测试人员，组织业务验收并确认环境就绪。</w:t>
      </w:r>
    </w:p>
    <w:p w14:paraId="0F9FA8BD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运维方（如有）：参与环境验收，熟悉部署架构，接管试运行及后期运维。</w:t>
      </w:r>
    </w:p>
    <w:p w14:paraId="7B19120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第三方对接厂商：配合接口调试，提供对接文档，配合联调排错。</w:t>
      </w:r>
    </w:p>
    <w:p w14:paraId="0BD5AB2B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（四）前置准入条件</w:t>
      </w:r>
    </w:p>
    <w:p w14:paraId="1F143BDB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以下条件未满足前不得进场安装：</w:t>
      </w:r>
    </w:p>
    <w:p w14:paraId="664912F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硬件或云主机、存储、负载均衡、网络（专线、防火墙策略、端口放通）部署到位。</w:t>
      </w:r>
    </w:p>
    <w:p w14:paraId="1C69F98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lastRenderedPageBreak/>
        <w:t xml:space="preserve">· </w:t>
      </w:r>
      <w:r>
        <w:rPr>
          <w:rFonts w:ascii="Times New Roman" w:eastAsia="宋体" w:hAnsi="Times New Roman"/>
          <w:color w:val="000000"/>
          <w:sz w:val="24"/>
        </w:rPr>
        <w:t>服务器操作系统基线安装完成、安全加固完成，</w:t>
      </w:r>
      <w:r>
        <w:rPr>
          <w:rFonts w:ascii="Times New Roman" w:eastAsia="宋体" w:hAnsi="Times New Roman"/>
          <w:color w:val="000000"/>
          <w:sz w:val="24"/>
        </w:rPr>
        <w:t>IP</w:t>
      </w:r>
      <w:r>
        <w:rPr>
          <w:rFonts w:ascii="Times New Roman" w:eastAsia="宋体" w:hAnsi="Times New Roman"/>
          <w:color w:val="000000"/>
          <w:sz w:val="24"/>
        </w:rPr>
        <w:t>、主机名、域名规划定稿。</w:t>
      </w:r>
    </w:p>
    <w:p w14:paraId="2896A1C9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账号权限（</w:t>
      </w:r>
      <w:r>
        <w:rPr>
          <w:rFonts w:ascii="Times New Roman" w:eastAsia="宋体" w:hAnsi="Times New Roman"/>
          <w:color w:val="000000"/>
          <w:sz w:val="24"/>
        </w:rPr>
        <w:t>root</w:t>
      </w:r>
      <w:r>
        <w:rPr>
          <w:rFonts w:ascii="Times New Roman" w:eastAsia="宋体" w:hAnsi="Times New Roman"/>
          <w:color w:val="000000"/>
          <w:sz w:val="24"/>
        </w:rPr>
        <w:t>或管理员、数据库账号）与密码管理规范落实。</w:t>
      </w:r>
    </w:p>
    <w:p w14:paraId="35C96B85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第三方对接系统接口文档及对接测试环境就绪。</w:t>
      </w:r>
    </w:p>
    <w:p w14:paraId="0B2E9C7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部署介质、安装包、</w:t>
      </w:r>
      <w:r>
        <w:rPr>
          <w:rFonts w:ascii="Times New Roman" w:eastAsia="宋体" w:hAnsi="Times New Roman"/>
          <w:color w:val="000000"/>
          <w:sz w:val="24"/>
        </w:rPr>
        <w:t>License</w:t>
      </w:r>
      <w:r>
        <w:rPr>
          <w:rFonts w:ascii="Times New Roman" w:eastAsia="宋体" w:hAnsi="Times New Roman"/>
          <w:color w:val="000000"/>
          <w:sz w:val="24"/>
        </w:rPr>
        <w:t>证书、加密</w:t>
      </w:r>
      <w:r>
        <w:rPr>
          <w:rFonts w:ascii="Times New Roman" w:eastAsia="宋体" w:hAnsi="Times New Roman"/>
          <w:color w:val="000000"/>
          <w:sz w:val="24"/>
        </w:rPr>
        <w:t>UKey</w:t>
      </w:r>
      <w:r>
        <w:rPr>
          <w:rFonts w:ascii="Times New Roman" w:eastAsia="宋体" w:hAnsi="Times New Roman"/>
          <w:color w:val="000000"/>
          <w:sz w:val="24"/>
        </w:rPr>
        <w:t>、密钥文件齐全且版本确认。</w:t>
      </w:r>
    </w:p>
    <w:p w14:paraId="16346DB3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机房或云环境运维窗口、停机变更流程审批完成。</w:t>
      </w:r>
    </w:p>
    <w:p w14:paraId="74612CEA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二、总体实施阶段划分</w:t>
      </w:r>
    </w:p>
    <w:p w14:paraId="4F04F263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总体流程按如下顺序推进：环境预检、基础环境部署、应用软件安装、单机及单模块调试、模块间联调、第三方接口联调、全系统集成测试、性能及压力调优、缺陷整改回归、试运行、验收移交。各阶段按序衔接，前一阶段通过相应检查后方可进入下一阶段。</w:t>
      </w:r>
    </w:p>
    <w:p w14:paraId="0BD390AB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三、分阶段详细工作内容、输出物与工期建议</w:t>
      </w:r>
    </w:p>
    <w:p w14:paraId="4E619549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注：以下工期为参考值，集群多节点、多对接系统可适当延长；可按需拆分为甘特图任务。</w:t>
      </w:r>
    </w:p>
    <w:p w14:paraId="10A8EEF5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（一）阶段</w:t>
      </w:r>
      <w:r>
        <w:rPr>
          <w:rFonts w:ascii="Times New Roman" w:eastAsia="黑体" w:hAnsi="Times New Roman"/>
          <w:color w:val="000000"/>
          <w:sz w:val="28"/>
        </w:rPr>
        <w:t>1</w:t>
      </w:r>
      <w:r>
        <w:rPr>
          <w:rFonts w:ascii="Times New Roman" w:eastAsia="黑体" w:hAnsi="Times New Roman"/>
          <w:color w:val="000000"/>
          <w:sz w:val="28"/>
        </w:rPr>
        <w:t>：部署环境核查与方案交底（</w:t>
      </w:r>
      <w:r>
        <w:rPr>
          <w:rFonts w:ascii="Times New Roman" w:eastAsia="黑体" w:hAnsi="Times New Roman"/>
          <w:color w:val="000000"/>
          <w:sz w:val="28"/>
        </w:rPr>
        <w:t>1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3BE3F3E3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33101ED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核对服务器数量，</w:t>
      </w:r>
      <w:r>
        <w:rPr>
          <w:rFonts w:ascii="Times New Roman" w:eastAsia="宋体" w:hAnsi="Times New Roman"/>
          <w:color w:val="000000"/>
          <w:sz w:val="24"/>
        </w:rPr>
        <w:t>CPU</w:t>
      </w:r>
      <w:r>
        <w:rPr>
          <w:rFonts w:ascii="Times New Roman" w:eastAsia="宋体" w:hAnsi="Times New Roman"/>
          <w:color w:val="000000"/>
          <w:sz w:val="24"/>
        </w:rPr>
        <w:t>、内存、磁盘、存储容量、</w:t>
      </w:r>
      <w:r>
        <w:rPr>
          <w:rFonts w:ascii="Times New Roman" w:eastAsia="宋体" w:hAnsi="Times New Roman"/>
          <w:color w:val="000000"/>
          <w:sz w:val="24"/>
        </w:rPr>
        <w:t>RAID</w:t>
      </w:r>
      <w:r>
        <w:rPr>
          <w:rFonts w:ascii="Times New Roman" w:eastAsia="宋体" w:hAnsi="Times New Roman"/>
          <w:color w:val="000000"/>
          <w:sz w:val="24"/>
        </w:rPr>
        <w:t>、网络互通性及端口策略。</w:t>
      </w:r>
    </w:p>
    <w:p w14:paraId="0C7CBE2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核对操作系统版本、内核、依赖包、防火墙、</w:t>
      </w:r>
      <w:r>
        <w:rPr>
          <w:rFonts w:ascii="Times New Roman" w:eastAsia="宋体" w:hAnsi="Times New Roman"/>
          <w:color w:val="000000"/>
          <w:sz w:val="24"/>
        </w:rPr>
        <w:t xml:space="preserve">SELinux </w:t>
      </w:r>
      <w:r>
        <w:rPr>
          <w:rFonts w:ascii="Times New Roman" w:eastAsia="宋体" w:hAnsi="Times New Roman"/>
          <w:color w:val="000000"/>
          <w:sz w:val="24"/>
        </w:rPr>
        <w:t>及时间同步（</w:t>
      </w:r>
      <w:r>
        <w:rPr>
          <w:rFonts w:ascii="Times New Roman" w:eastAsia="宋体" w:hAnsi="Times New Roman"/>
          <w:color w:val="000000"/>
          <w:sz w:val="24"/>
        </w:rPr>
        <w:t>NTP</w:t>
      </w:r>
      <w:r>
        <w:rPr>
          <w:rFonts w:ascii="Times New Roman" w:eastAsia="宋体" w:hAnsi="Times New Roman"/>
          <w:color w:val="000000"/>
          <w:sz w:val="24"/>
        </w:rPr>
        <w:t>）。</w:t>
      </w:r>
    </w:p>
    <w:p w14:paraId="2896DA85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核对数据库、中间件版本兼容性。</w:t>
      </w:r>
    </w:p>
    <w:p w14:paraId="3E49F4B0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召开交底会，确认部署架构（主从、集群、高可用）、目录规划、备份策略及账号规范。</w:t>
      </w:r>
    </w:p>
    <w:p w14:paraId="363CCBA5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输出风险清单，对缺项、网络不通、资源不足等问题发出整改通知单。</w:t>
      </w:r>
    </w:p>
    <w:p w14:paraId="555D4C43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交付物：环境预检记录表、部署确认单、安装调试技术交底纪要。</w:t>
      </w:r>
    </w:p>
    <w:p w14:paraId="77437F94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lastRenderedPageBreak/>
        <w:t>（二）阶段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：基础支撑软件安装配置（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5</w:t>
      </w:r>
      <w:r>
        <w:rPr>
          <w:rFonts w:ascii="Times New Roman" w:eastAsia="黑体" w:hAnsi="Times New Roman"/>
          <w:color w:val="000000"/>
          <w:sz w:val="28"/>
        </w:rPr>
        <w:t>天，集群更长）</w:t>
      </w:r>
    </w:p>
    <w:p w14:paraId="7382376A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6594D803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数据库安装、实例创建、表空间规划、参数初始化，主从或集群配置。</w:t>
      </w:r>
    </w:p>
    <w:p w14:paraId="1A2FEAB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中间件（</w:t>
      </w:r>
      <w:r>
        <w:rPr>
          <w:rFonts w:ascii="Times New Roman" w:eastAsia="宋体" w:hAnsi="Times New Roman"/>
          <w:color w:val="000000"/>
          <w:sz w:val="24"/>
        </w:rPr>
        <w:t>Tomcat</w:t>
      </w:r>
      <w:r>
        <w:rPr>
          <w:rFonts w:ascii="Times New Roman" w:eastAsia="宋体" w:hAnsi="Times New Roman"/>
          <w:color w:val="000000"/>
          <w:sz w:val="24"/>
        </w:rPr>
        <w:t>、</w:t>
      </w:r>
      <w:r>
        <w:rPr>
          <w:rFonts w:ascii="Times New Roman" w:eastAsia="宋体" w:hAnsi="Times New Roman"/>
          <w:color w:val="000000"/>
          <w:sz w:val="24"/>
        </w:rPr>
        <w:t>Nginx</w:t>
      </w:r>
      <w:r>
        <w:rPr>
          <w:rFonts w:ascii="Times New Roman" w:eastAsia="宋体" w:hAnsi="Times New Roman"/>
          <w:color w:val="000000"/>
          <w:sz w:val="24"/>
        </w:rPr>
        <w:t>、</w:t>
      </w:r>
      <w:r>
        <w:rPr>
          <w:rFonts w:ascii="Times New Roman" w:eastAsia="宋体" w:hAnsi="Times New Roman"/>
          <w:color w:val="000000"/>
          <w:sz w:val="24"/>
        </w:rPr>
        <w:t>WebLogic</w:t>
      </w:r>
      <w:r>
        <w:rPr>
          <w:rFonts w:ascii="Times New Roman" w:eastAsia="宋体" w:hAnsi="Times New Roman"/>
          <w:color w:val="000000"/>
          <w:sz w:val="24"/>
        </w:rPr>
        <w:t>、容器平台等）安装、集群及负载均衡配置。</w:t>
      </w:r>
    </w:p>
    <w:p w14:paraId="3B4B6EF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支撑组件（</w:t>
      </w:r>
      <w:r>
        <w:rPr>
          <w:rFonts w:ascii="Times New Roman" w:eastAsia="宋体" w:hAnsi="Times New Roman"/>
          <w:color w:val="000000"/>
          <w:sz w:val="24"/>
        </w:rPr>
        <w:t>Redis</w:t>
      </w:r>
      <w:r>
        <w:rPr>
          <w:rFonts w:ascii="Times New Roman" w:eastAsia="宋体" w:hAnsi="Times New Roman"/>
          <w:color w:val="000000"/>
          <w:sz w:val="24"/>
        </w:rPr>
        <w:t>、</w:t>
      </w:r>
      <w:r>
        <w:rPr>
          <w:rFonts w:ascii="Times New Roman" w:eastAsia="宋体" w:hAnsi="Times New Roman"/>
          <w:color w:val="000000"/>
          <w:sz w:val="24"/>
        </w:rPr>
        <w:t>MQ</w:t>
      </w:r>
      <w:r>
        <w:rPr>
          <w:rFonts w:ascii="Times New Roman" w:eastAsia="宋体" w:hAnsi="Times New Roman"/>
          <w:color w:val="000000"/>
          <w:sz w:val="24"/>
        </w:rPr>
        <w:t>、</w:t>
      </w:r>
      <w:r>
        <w:rPr>
          <w:rFonts w:ascii="Times New Roman" w:eastAsia="宋体" w:hAnsi="Times New Roman"/>
          <w:color w:val="000000"/>
          <w:sz w:val="24"/>
        </w:rPr>
        <w:t>Elasticsearch</w:t>
      </w:r>
      <w:r>
        <w:rPr>
          <w:rFonts w:ascii="Times New Roman" w:eastAsia="宋体" w:hAnsi="Times New Roman"/>
          <w:color w:val="000000"/>
          <w:sz w:val="24"/>
        </w:rPr>
        <w:t>、定时任务、文件存储服务等）安装配置。</w:t>
      </w:r>
    </w:p>
    <w:p w14:paraId="57EC5AA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基础账号创建、权限划分、日志目录及备份脚本部署。</w:t>
      </w:r>
    </w:p>
    <w:p w14:paraId="215DEA7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基础服务启停验证及连通性测试。</w:t>
      </w:r>
    </w:p>
    <w:p w14:paraId="2AF7D8FA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交付物：基础软件安装配置记录、数据库参数配置表、集群配置文档。</w:t>
      </w:r>
    </w:p>
    <w:p w14:paraId="014BC631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（三）阶段</w:t>
      </w:r>
      <w:r>
        <w:rPr>
          <w:rFonts w:ascii="Times New Roman" w:eastAsia="黑体" w:hAnsi="Times New Roman"/>
          <w:color w:val="000000"/>
          <w:sz w:val="28"/>
        </w:rPr>
        <w:t>3</w:t>
      </w:r>
      <w:r>
        <w:rPr>
          <w:rFonts w:ascii="Times New Roman" w:eastAsia="黑体" w:hAnsi="Times New Roman"/>
          <w:color w:val="000000"/>
          <w:sz w:val="28"/>
        </w:rPr>
        <w:t>：应用软件部署安装（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4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52FEF155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197D382D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安装包上传、解压及权限配置。</w:t>
      </w:r>
    </w:p>
    <w:p w14:paraId="73E0E3A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执行初始化脚本、数据库建库建表、基础字典及初始基础数据导入。</w:t>
      </w:r>
    </w:p>
    <w:p w14:paraId="158B28B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修改应用配置文件：数据库连接、缓存地址、文件路径、日志级别及</w:t>
      </w:r>
      <w:r>
        <w:rPr>
          <w:rFonts w:ascii="Times New Roman" w:eastAsia="宋体" w:hAnsi="Times New Roman"/>
          <w:color w:val="000000"/>
          <w:sz w:val="24"/>
        </w:rPr>
        <w:t>License</w:t>
      </w:r>
      <w:r>
        <w:rPr>
          <w:rFonts w:ascii="Times New Roman" w:eastAsia="宋体" w:hAnsi="Times New Roman"/>
          <w:color w:val="000000"/>
          <w:sz w:val="24"/>
        </w:rPr>
        <w:t>激活。</w:t>
      </w:r>
    </w:p>
    <w:p w14:paraId="16A57EE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服务注册、启动脚本及自启动配置。</w:t>
      </w:r>
    </w:p>
    <w:p w14:paraId="6601FA8B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各应用节点单独启动，验证服务正常拉起且无启动报错。</w:t>
      </w:r>
    </w:p>
    <w:p w14:paraId="74F5A127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重点：高可用环境逐个节点部署，避免同时操作引发冲突。</w:t>
      </w:r>
    </w:p>
    <w:p w14:paraId="0E343C46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交付物：应用安装记录、系统配置参数表、服务启停操作手册。</w:t>
      </w:r>
    </w:p>
    <w:p w14:paraId="04F8FA83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（四）阶段</w:t>
      </w:r>
      <w:r>
        <w:rPr>
          <w:rFonts w:ascii="Times New Roman" w:eastAsia="黑体" w:hAnsi="Times New Roman"/>
          <w:color w:val="000000"/>
          <w:sz w:val="28"/>
        </w:rPr>
        <w:t>4</w:t>
      </w:r>
      <w:r>
        <w:rPr>
          <w:rFonts w:ascii="Times New Roman" w:eastAsia="黑体" w:hAnsi="Times New Roman"/>
          <w:color w:val="000000"/>
          <w:sz w:val="28"/>
        </w:rPr>
        <w:t>：单机及单模块功能调试（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4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5EAF2617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00552A8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逐个模块登录验证、菜单加载及基础页面访问。</w:t>
      </w:r>
    </w:p>
    <w:p w14:paraId="5E4D65A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基础功能调试：新增、查询、修改、删除、附件上传下载、打印导出。</w:t>
      </w:r>
    </w:p>
    <w:p w14:paraId="5A41344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基础字典、组织架构、用户角色权限配置调试。</w:t>
      </w:r>
    </w:p>
    <w:p w14:paraId="1280292B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收集模块级缺陷并登记到缺陷台账。</w:t>
      </w:r>
    </w:p>
    <w:p w14:paraId="59B81D21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交付物：模块调试记录表、缺陷跟踪台账。</w:t>
      </w:r>
    </w:p>
    <w:p w14:paraId="074251E9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lastRenderedPageBreak/>
        <w:t>（五）阶段</w:t>
      </w:r>
      <w:r>
        <w:rPr>
          <w:rFonts w:ascii="Times New Roman" w:eastAsia="黑体" w:hAnsi="Times New Roman"/>
          <w:color w:val="000000"/>
          <w:sz w:val="28"/>
        </w:rPr>
        <w:t>5</w:t>
      </w:r>
      <w:r>
        <w:rPr>
          <w:rFonts w:ascii="Times New Roman" w:eastAsia="黑体" w:hAnsi="Times New Roman"/>
          <w:color w:val="000000"/>
          <w:sz w:val="28"/>
        </w:rPr>
        <w:t>：内部模块联调（</w:t>
      </w:r>
      <w:r>
        <w:rPr>
          <w:rFonts w:ascii="Times New Roman" w:eastAsia="黑体" w:hAnsi="Times New Roman"/>
          <w:color w:val="000000"/>
          <w:sz w:val="28"/>
        </w:rPr>
        <w:t>3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7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164CFFBC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22FB899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模块间调用、流程流转、消息推送及数据同步调试。</w:t>
      </w:r>
    </w:p>
    <w:p w14:paraId="26DA4BD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定时任务、后台异步服务、文件同步及消息消费调试。</w:t>
      </w:r>
    </w:p>
    <w:p w14:paraId="1F9C0C63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跨节点数据一致性校验。</w:t>
      </w:r>
    </w:p>
    <w:p w14:paraId="4093FBEB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流程类系统重点调试审批流转、会签、退回及抄送。</w:t>
      </w:r>
    </w:p>
    <w:p w14:paraId="08344AE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交付物：内部联调测试记录。</w:t>
      </w:r>
    </w:p>
    <w:p w14:paraId="592B36CB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（六）阶段</w:t>
      </w:r>
      <w:r>
        <w:rPr>
          <w:rFonts w:ascii="Times New Roman" w:eastAsia="黑体" w:hAnsi="Times New Roman"/>
          <w:color w:val="000000"/>
          <w:sz w:val="28"/>
        </w:rPr>
        <w:t>6</w:t>
      </w:r>
      <w:r>
        <w:rPr>
          <w:rFonts w:ascii="Times New Roman" w:eastAsia="黑体" w:hAnsi="Times New Roman"/>
          <w:color w:val="000000"/>
          <w:sz w:val="28"/>
        </w:rPr>
        <w:t>：外部第三方系统接口联调（</w:t>
      </w:r>
      <w:r>
        <w:rPr>
          <w:rFonts w:ascii="Times New Roman" w:eastAsia="黑体" w:hAnsi="Times New Roman"/>
          <w:color w:val="000000"/>
          <w:sz w:val="28"/>
        </w:rPr>
        <w:t>3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10</w:t>
      </w:r>
      <w:r>
        <w:rPr>
          <w:rFonts w:ascii="Times New Roman" w:eastAsia="黑体" w:hAnsi="Times New Roman"/>
          <w:color w:val="000000"/>
          <w:sz w:val="28"/>
        </w:rPr>
        <w:t>天，对接越多时间越长）</w:t>
      </w:r>
    </w:p>
    <w:p w14:paraId="69E1FBA3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1D7F79A7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与各外部系统（</w:t>
      </w:r>
      <w:r>
        <w:rPr>
          <w:rFonts w:ascii="Times New Roman" w:eastAsia="宋体" w:hAnsi="Times New Roman"/>
          <w:color w:val="000000"/>
          <w:sz w:val="24"/>
        </w:rPr>
        <w:t>OA</w:t>
      </w:r>
      <w:r>
        <w:rPr>
          <w:rFonts w:ascii="Times New Roman" w:eastAsia="宋体" w:hAnsi="Times New Roman"/>
          <w:color w:val="000000"/>
          <w:sz w:val="24"/>
        </w:rPr>
        <w:t>、财务、门禁、</w:t>
      </w:r>
      <w:r>
        <w:rPr>
          <w:rFonts w:ascii="Times New Roman" w:eastAsia="宋体" w:hAnsi="Times New Roman"/>
          <w:color w:val="000000"/>
          <w:sz w:val="24"/>
        </w:rPr>
        <w:t>GIS</w:t>
      </w:r>
      <w:r>
        <w:rPr>
          <w:rFonts w:ascii="Times New Roman" w:eastAsia="宋体" w:hAnsi="Times New Roman"/>
          <w:color w:val="000000"/>
          <w:sz w:val="24"/>
        </w:rPr>
        <w:t>、物联网、其他业务平台等）连通测试。</w:t>
      </w:r>
    </w:p>
    <w:p w14:paraId="3E6AC28D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接口报文调试、签名验签、数据收发、异常返回处理及重连机制调试。</w:t>
      </w:r>
    </w:p>
    <w:p w14:paraId="20B66E9F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边界场景覆盖：网络中断、超时、重复推送及异常报文处理。</w:t>
      </w:r>
    </w:p>
    <w:p w14:paraId="11BE839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双方共同签字确认接口调通。</w:t>
      </w:r>
    </w:p>
    <w:p w14:paraId="54CBB3D7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交付物：接口联调记录表、接口对接确认单。</w:t>
      </w:r>
    </w:p>
    <w:p w14:paraId="25BF137A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（七）阶段</w:t>
      </w:r>
      <w:r>
        <w:rPr>
          <w:rFonts w:ascii="Times New Roman" w:eastAsia="黑体" w:hAnsi="Times New Roman"/>
          <w:color w:val="000000"/>
          <w:sz w:val="28"/>
        </w:rPr>
        <w:t>7</w:t>
      </w:r>
      <w:r>
        <w:rPr>
          <w:rFonts w:ascii="Times New Roman" w:eastAsia="黑体" w:hAnsi="Times New Roman"/>
          <w:color w:val="000000"/>
          <w:sz w:val="28"/>
        </w:rPr>
        <w:t>：全系统集成测试与业务场景测试（</w:t>
      </w:r>
      <w:r>
        <w:rPr>
          <w:rFonts w:ascii="Times New Roman" w:eastAsia="黑体" w:hAnsi="Times New Roman"/>
          <w:color w:val="000000"/>
          <w:sz w:val="28"/>
        </w:rPr>
        <w:t>3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7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2E5AF707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72C39AD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甲方业务人员参与，按业务用例跑通完整业务闭环。</w:t>
      </w:r>
    </w:p>
    <w:p w14:paraId="5518E98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覆盖主流程、分支流程、异常场景及权限隔离。</w:t>
      </w:r>
    </w:p>
    <w:p w14:paraId="37C3A06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全链路日志排查，处理业务逻辑问题。</w:t>
      </w:r>
    </w:p>
    <w:p w14:paraId="66ED90BE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缺陷分级（</w:t>
      </w:r>
      <w:r>
        <w:rPr>
          <w:rFonts w:ascii="Times New Roman" w:eastAsia="宋体" w:hAnsi="Times New Roman"/>
          <w:color w:val="000000"/>
          <w:sz w:val="24"/>
        </w:rPr>
        <w:t>P0</w:t>
      </w:r>
      <w:r>
        <w:rPr>
          <w:rFonts w:ascii="Times New Roman" w:eastAsia="宋体" w:hAnsi="Times New Roman"/>
          <w:color w:val="000000"/>
          <w:sz w:val="24"/>
        </w:rPr>
        <w:t>紧急、</w:t>
      </w:r>
      <w:r>
        <w:rPr>
          <w:rFonts w:ascii="Times New Roman" w:eastAsia="宋体" w:hAnsi="Times New Roman"/>
          <w:color w:val="000000"/>
          <w:sz w:val="24"/>
        </w:rPr>
        <w:t>P1</w:t>
      </w:r>
      <w:r>
        <w:rPr>
          <w:rFonts w:ascii="Times New Roman" w:eastAsia="宋体" w:hAnsi="Times New Roman"/>
          <w:color w:val="000000"/>
          <w:sz w:val="24"/>
        </w:rPr>
        <w:t>高、</w:t>
      </w:r>
      <w:r>
        <w:rPr>
          <w:rFonts w:ascii="Times New Roman" w:eastAsia="宋体" w:hAnsi="Times New Roman"/>
          <w:color w:val="000000"/>
          <w:sz w:val="24"/>
        </w:rPr>
        <w:t>P2</w:t>
      </w:r>
      <w:r>
        <w:rPr>
          <w:rFonts w:ascii="Times New Roman" w:eastAsia="宋体" w:hAnsi="Times New Roman"/>
          <w:color w:val="000000"/>
          <w:sz w:val="24"/>
        </w:rPr>
        <w:t>中、</w:t>
      </w:r>
      <w:r>
        <w:rPr>
          <w:rFonts w:ascii="Times New Roman" w:eastAsia="宋体" w:hAnsi="Times New Roman"/>
          <w:color w:val="000000"/>
          <w:sz w:val="24"/>
        </w:rPr>
        <w:t>P3</w:t>
      </w:r>
      <w:r>
        <w:rPr>
          <w:rFonts w:ascii="Times New Roman" w:eastAsia="宋体" w:hAnsi="Times New Roman"/>
          <w:color w:val="000000"/>
          <w:sz w:val="24"/>
        </w:rPr>
        <w:t>低），排定修复顺序。</w:t>
      </w:r>
    </w:p>
    <w:p w14:paraId="42D6B67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交付物：集成测试报告、缺陷清单及整改计划。</w:t>
      </w:r>
    </w:p>
    <w:p w14:paraId="4223E813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（八）阶段</w:t>
      </w:r>
      <w:r>
        <w:rPr>
          <w:rFonts w:ascii="Times New Roman" w:eastAsia="黑体" w:hAnsi="Times New Roman"/>
          <w:color w:val="000000"/>
          <w:sz w:val="28"/>
        </w:rPr>
        <w:t>8</w:t>
      </w:r>
      <w:r>
        <w:rPr>
          <w:rFonts w:ascii="Times New Roman" w:eastAsia="黑体" w:hAnsi="Times New Roman"/>
          <w:color w:val="000000"/>
          <w:sz w:val="28"/>
        </w:rPr>
        <w:t>：性能与高可用调优（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5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768AF4B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4BDC270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开展压力及并发测试，观测</w:t>
      </w:r>
      <w:r>
        <w:rPr>
          <w:rFonts w:ascii="Times New Roman" w:eastAsia="宋体" w:hAnsi="Times New Roman"/>
          <w:color w:val="000000"/>
          <w:sz w:val="24"/>
        </w:rPr>
        <w:t xml:space="preserve"> CPU</w:t>
      </w:r>
      <w:r>
        <w:rPr>
          <w:rFonts w:ascii="Times New Roman" w:eastAsia="宋体" w:hAnsi="Times New Roman"/>
          <w:color w:val="000000"/>
          <w:sz w:val="24"/>
        </w:rPr>
        <w:t>、内存、数据库慢</w:t>
      </w:r>
      <w:r>
        <w:rPr>
          <w:rFonts w:ascii="Times New Roman" w:eastAsia="宋体" w:hAnsi="Times New Roman"/>
          <w:color w:val="000000"/>
          <w:sz w:val="24"/>
        </w:rPr>
        <w:t>SQL</w:t>
      </w:r>
      <w:r>
        <w:rPr>
          <w:rFonts w:ascii="Times New Roman" w:eastAsia="宋体" w:hAnsi="Times New Roman"/>
          <w:color w:val="000000"/>
          <w:sz w:val="24"/>
        </w:rPr>
        <w:t>及连接数。</w:t>
      </w:r>
    </w:p>
    <w:p w14:paraId="57D29AF3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数据库索引优化、</w:t>
      </w:r>
      <w:r>
        <w:rPr>
          <w:rFonts w:ascii="Times New Roman" w:eastAsia="宋体" w:hAnsi="Times New Roman"/>
          <w:color w:val="000000"/>
          <w:sz w:val="24"/>
        </w:rPr>
        <w:t>SQL</w:t>
      </w:r>
      <w:r>
        <w:rPr>
          <w:rFonts w:ascii="Times New Roman" w:eastAsia="宋体" w:hAnsi="Times New Roman"/>
          <w:color w:val="000000"/>
          <w:sz w:val="24"/>
        </w:rPr>
        <w:t>优化及缓存策略调整。</w:t>
      </w:r>
    </w:p>
    <w:p w14:paraId="458F40D5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lastRenderedPageBreak/>
        <w:t xml:space="preserve">· </w:t>
      </w:r>
      <w:r>
        <w:rPr>
          <w:rFonts w:ascii="Times New Roman" w:eastAsia="宋体" w:hAnsi="Times New Roman"/>
          <w:color w:val="000000"/>
          <w:sz w:val="24"/>
        </w:rPr>
        <w:t>集群故障切换演练（主节点宕机、服务重启），验证高可用。</w:t>
      </w:r>
    </w:p>
    <w:p w14:paraId="23B6FC1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日志切割、垃圾清理及告警配置（邮件、短信、平台告警）。</w:t>
      </w:r>
    </w:p>
    <w:p w14:paraId="3DF156CB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备份恢复演练：数据库全量与增量备份、恢复验证。</w:t>
      </w:r>
    </w:p>
    <w:p w14:paraId="6E9B872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交付物：性能调优记录、备份恢复验证报告、高可用演练记录。</w:t>
      </w:r>
    </w:p>
    <w:p w14:paraId="5F9DDCF4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（九）阶段</w:t>
      </w:r>
      <w:r>
        <w:rPr>
          <w:rFonts w:ascii="Times New Roman" w:eastAsia="黑体" w:hAnsi="Times New Roman"/>
          <w:color w:val="000000"/>
          <w:sz w:val="28"/>
        </w:rPr>
        <w:t>9</w:t>
      </w:r>
      <w:r>
        <w:rPr>
          <w:rFonts w:ascii="Times New Roman" w:eastAsia="黑体" w:hAnsi="Times New Roman"/>
          <w:color w:val="000000"/>
          <w:sz w:val="28"/>
        </w:rPr>
        <w:t>：缺陷闭环与回归测试（按需，一般</w:t>
      </w:r>
      <w:r>
        <w:rPr>
          <w:rFonts w:ascii="Times New Roman" w:eastAsia="黑体" w:hAnsi="Times New Roman"/>
          <w:color w:val="000000"/>
          <w:sz w:val="28"/>
        </w:rPr>
        <w:t>2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5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4632768D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18FAC702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开发或实施人员修复缺陷。</w:t>
      </w:r>
    </w:p>
    <w:p w14:paraId="67B14BA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逐条回归验证。</w:t>
      </w:r>
    </w:p>
    <w:p w14:paraId="17B01AC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>· P0</w:t>
      </w:r>
      <w:r>
        <w:rPr>
          <w:rFonts w:ascii="Times New Roman" w:eastAsia="宋体" w:hAnsi="Times New Roman"/>
          <w:color w:val="000000"/>
          <w:sz w:val="24"/>
        </w:rPr>
        <w:t>、</w:t>
      </w:r>
      <w:r>
        <w:rPr>
          <w:rFonts w:ascii="Times New Roman" w:eastAsia="宋体" w:hAnsi="Times New Roman"/>
          <w:color w:val="000000"/>
          <w:sz w:val="24"/>
        </w:rPr>
        <w:t>P1</w:t>
      </w:r>
      <w:r>
        <w:rPr>
          <w:rFonts w:ascii="Times New Roman" w:eastAsia="宋体" w:hAnsi="Times New Roman"/>
          <w:color w:val="000000"/>
          <w:sz w:val="24"/>
        </w:rPr>
        <w:t>缺陷必须全部关闭；低优先级缺陷形成遗留问题清单，经甲方签字确认。</w:t>
      </w:r>
    </w:p>
    <w:p w14:paraId="5A00780B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交付物：缺陷关闭确认表、遗留问题说明。</w:t>
      </w:r>
    </w:p>
    <w:p w14:paraId="5F0A34D5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（十）阶段</w:t>
      </w:r>
      <w:r>
        <w:rPr>
          <w:rFonts w:ascii="Times New Roman" w:eastAsia="黑体" w:hAnsi="Times New Roman"/>
          <w:color w:val="000000"/>
          <w:sz w:val="28"/>
        </w:rPr>
        <w:t>10</w:t>
      </w:r>
      <w:r>
        <w:rPr>
          <w:rFonts w:ascii="Times New Roman" w:eastAsia="黑体" w:hAnsi="Times New Roman"/>
          <w:color w:val="000000"/>
          <w:sz w:val="28"/>
        </w:rPr>
        <w:t>：系统试运行（建议</w:t>
      </w:r>
      <w:r>
        <w:rPr>
          <w:rFonts w:ascii="Times New Roman" w:eastAsia="黑体" w:hAnsi="Times New Roman"/>
          <w:color w:val="000000"/>
          <w:sz w:val="28"/>
        </w:rPr>
        <w:t>7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30</w:t>
      </w:r>
      <w:r>
        <w:rPr>
          <w:rFonts w:ascii="Times New Roman" w:eastAsia="黑体" w:hAnsi="Times New Roman"/>
          <w:color w:val="000000"/>
          <w:sz w:val="28"/>
        </w:rPr>
        <w:t>天，按甲方要求）</w:t>
      </w:r>
    </w:p>
    <w:p w14:paraId="2599AC5E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1376559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正式业务数据上线使用。</w:t>
      </w:r>
    </w:p>
    <w:p w14:paraId="3DBE2140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实施方驻场支持（前期高密度，后期值守）。</w:t>
      </w:r>
    </w:p>
    <w:p w14:paraId="420E7236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每日巡检：服务状态、数据库、磁盘及日志报错。</w:t>
      </w:r>
    </w:p>
    <w:p w14:paraId="3F4052E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记录试运行问题并及时响应处理。</w:t>
      </w:r>
    </w:p>
    <w:p w14:paraId="21B9B7E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定期输出试运行周报。</w:t>
      </w:r>
    </w:p>
    <w:p w14:paraId="6CD19533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交付物：试运行巡检记录、试运行周报、试运行总结报告。</w:t>
      </w:r>
    </w:p>
    <w:p w14:paraId="3F55B5C5" w14:textId="77777777" w:rsidR="00FA299A" w:rsidRDefault="00000000">
      <w:pPr>
        <w:pStyle w:val="21"/>
        <w:spacing w:before="220" w:after="100" w:line="360" w:lineRule="auto"/>
      </w:pPr>
      <w:r>
        <w:rPr>
          <w:rFonts w:ascii="Times New Roman" w:eastAsia="黑体" w:hAnsi="Times New Roman"/>
          <w:color w:val="000000"/>
          <w:sz w:val="28"/>
        </w:rPr>
        <w:t>（十一）阶段</w:t>
      </w:r>
      <w:r>
        <w:rPr>
          <w:rFonts w:ascii="Times New Roman" w:eastAsia="黑体" w:hAnsi="Times New Roman"/>
          <w:color w:val="000000"/>
          <w:sz w:val="28"/>
        </w:rPr>
        <w:t>11</w:t>
      </w:r>
      <w:r>
        <w:rPr>
          <w:rFonts w:ascii="Times New Roman" w:eastAsia="黑体" w:hAnsi="Times New Roman"/>
          <w:color w:val="000000"/>
          <w:sz w:val="28"/>
        </w:rPr>
        <w:t>：培训、资料移交与验收（</w:t>
      </w:r>
      <w:r>
        <w:rPr>
          <w:rFonts w:ascii="Times New Roman" w:eastAsia="黑体" w:hAnsi="Times New Roman"/>
          <w:color w:val="000000"/>
          <w:sz w:val="28"/>
        </w:rPr>
        <w:t>1</w:t>
      </w:r>
      <w:r>
        <w:rPr>
          <w:rFonts w:ascii="Times New Roman" w:eastAsia="黑体" w:hAnsi="Times New Roman"/>
          <w:color w:val="000000"/>
          <w:sz w:val="28"/>
        </w:rPr>
        <w:t>～</w:t>
      </w:r>
      <w:r>
        <w:rPr>
          <w:rFonts w:ascii="Times New Roman" w:eastAsia="黑体" w:hAnsi="Times New Roman"/>
          <w:color w:val="000000"/>
          <w:sz w:val="28"/>
        </w:rPr>
        <w:t>3</w:t>
      </w:r>
      <w:r>
        <w:rPr>
          <w:rFonts w:ascii="Times New Roman" w:eastAsia="黑体" w:hAnsi="Times New Roman"/>
          <w:color w:val="000000"/>
          <w:sz w:val="28"/>
        </w:rPr>
        <w:t>天）</w:t>
      </w:r>
    </w:p>
    <w:p w14:paraId="562B244D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工作内容：</w:t>
      </w:r>
    </w:p>
    <w:p w14:paraId="501C80B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组织管理员运维培训及业务操作员培训。</w:t>
      </w:r>
    </w:p>
    <w:p w14:paraId="708348D8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移交全套文档：部署架构图、账号清单、配置手册、运维手册、故障排查手册、备份方案。</w:t>
      </w:r>
    </w:p>
    <w:p w14:paraId="778E682C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整理全套验收材料并组织验收会。</w:t>
      </w:r>
    </w:p>
    <w:p w14:paraId="2D3F5ACB" w14:textId="77777777" w:rsidR="00FA299A" w:rsidRDefault="00000000">
      <w:pPr>
        <w:spacing w:after="0" w:line="360" w:lineRule="auto"/>
        <w:ind w:firstLine="480"/>
        <w:jc w:val="both"/>
      </w:pPr>
      <w:r>
        <w:rPr>
          <w:rFonts w:ascii="Times New Roman" w:eastAsia="宋体" w:hAnsi="Times New Roman"/>
          <w:color w:val="000000"/>
          <w:sz w:val="24"/>
        </w:rPr>
        <w:t>交付物：培训签到表、培训课件、全套项目文档、安装调试验收单。</w:t>
      </w:r>
    </w:p>
    <w:p w14:paraId="728AEC7E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lastRenderedPageBreak/>
        <w:t>四、质量管控要求</w:t>
      </w:r>
    </w:p>
    <w:p w14:paraId="569F9A4E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所有变更及配置修改必须记录，重大变更走变更审批流程。</w:t>
      </w:r>
    </w:p>
    <w:p w14:paraId="43EF77FB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先在测试环境调通，再同步生产环境。</w:t>
      </w:r>
    </w:p>
    <w:p w14:paraId="54DAA343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生产操作双人复核，重要操作提前备份。</w:t>
      </w:r>
    </w:p>
    <w:p w14:paraId="62B61B5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所有问题统一台账管理，记录现象、原因、处理方案、验证人及关闭时间。</w:t>
      </w:r>
    </w:p>
    <w:p w14:paraId="7F43451F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任何版本变更均记录版本号、更新内容及回滚方案。</w:t>
      </w:r>
    </w:p>
    <w:p w14:paraId="52BFADC6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五、风险及应急预案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690"/>
      </w:tblGrid>
      <w:tr w:rsidR="00FA299A" w14:paraId="223FD64C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D9D9"/>
            <w:vAlign w:val="center"/>
          </w:tcPr>
          <w:p w14:paraId="1E7A53FB" w14:textId="77777777" w:rsidR="00FA299A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风险</w:t>
            </w:r>
          </w:p>
        </w:tc>
        <w:tc>
          <w:tcPr>
            <w:tcW w:w="6690" w:type="dxa"/>
            <w:shd w:val="clear" w:color="auto" w:fill="D9D9D9"/>
            <w:vAlign w:val="center"/>
          </w:tcPr>
          <w:p w14:paraId="55F48FDC" w14:textId="77777777" w:rsidR="00FA299A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应对措施</w:t>
            </w:r>
          </w:p>
        </w:tc>
      </w:tr>
      <w:tr w:rsidR="00FA299A" w14:paraId="279EBADC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60CE041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网络策略不通、端口未放通</w:t>
            </w:r>
          </w:p>
        </w:tc>
        <w:tc>
          <w:tcPr>
            <w:tcW w:w="6690" w:type="dxa"/>
            <w:vAlign w:val="center"/>
          </w:tcPr>
          <w:p w14:paraId="3703CB65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提前提交端口清单给甲方网络组；预留单独网络调试窗口。</w:t>
            </w:r>
          </w:p>
        </w:tc>
      </w:tr>
      <w:tr w:rsidR="00FA299A" w14:paraId="7232536E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F73433F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服务器资源不足</w:t>
            </w:r>
          </w:p>
        </w:tc>
        <w:tc>
          <w:tcPr>
            <w:tcW w:w="6690" w:type="dxa"/>
            <w:vAlign w:val="center"/>
          </w:tcPr>
          <w:p w14:paraId="53E779A3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预检阶段提前发现，出具资源增补申请。</w:t>
            </w:r>
          </w:p>
        </w:tc>
      </w:tr>
      <w:tr w:rsidR="00FA299A" w14:paraId="7CA4D6E0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FB78E69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数据库数据损坏、误操作</w:t>
            </w:r>
          </w:p>
        </w:tc>
        <w:tc>
          <w:tcPr>
            <w:tcW w:w="6690" w:type="dxa"/>
            <w:vAlign w:val="center"/>
          </w:tcPr>
          <w:p w14:paraId="0FDF17E8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操作前强制备份，准备回滚脚本。</w:t>
            </w:r>
          </w:p>
        </w:tc>
      </w:tr>
      <w:tr w:rsidR="00FA299A" w14:paraId="0D5B046A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5AD44709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接口对方配合滞后</w:t>
            </w:r>
          </w:p>
        </w:tc>
        <w:tc>
          <w:tcPr>
            <w:tcW w:w="6690" w:type="dxa"/>
            <w:vAlign w:val="center"/>
          </w:tcPr>
          <w:p w14:paraId="1CB60142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提前排期，建立对接专项沟通群，约定每日联调时间。</w:t>
            </w:r>
          </w:p>
        </w:tc>
      </w:tr>
      <w:tr w:rsidR="00FA299A" w14:paraId="52095D34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7C51C43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上线后突发故障</w:t>
            </w:r>
          </w:p>
        </w:tc>
        <w:tc>
          <w:tcPr>
            <w:tcW w:w="6690" w:type="dxa"/>
            <w:vAlign w:val="center"/>
          </w:tcPr>
          <w:p w14:paraId="5FDA3AA9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制定回滚方案，保留上一稳定版本，明确紧急联络人。</w:t>
            </w:r>
          </w:p>
        </w:tc>
      </w:tr>
      <w:tr w:rsidR="00FA299A" w14:paraId="3F73A8E1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4C497EBD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License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或加密锁异常</w:t>
            </w:r>
          </w:p>
        </w:tc>
        <w:tc>
          <w:tcPr>
            <w:tcW w:w="6690" w:type="dxa"/>
            <w:vAlign w:val="center"/>
          </w:tcPr>
          <w:p w14:paraId="3A8FF340" w14:textId="77777777" w:rsidR="00FA299A" w:rsidRDefault="00000000">
            <w:pPr>
              <w:spacing w:after="0" w:line="240" w:lineRule="auto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提前核验证书有效期，备用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License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提前准备。</w:t>
            </w:r>
          </w:p>
        </w:tc>
      </w:tr>
    </w:tbl>
    <w:p w14:paraId="53229648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六、资源配置建议（实施团队）</w:t>
      </w:r>
    </w:p>
    <w:p w14:paraId="70EC1A20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项目负责人：总协调、进度管理、问题升级。</w:t>
      </w:r>
    </w:p>
    <w:p w14:paraId="2CB332E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系统运维或部署工程师：操作系统、中间件、集群、网络。</w:t>
      </w:r>
    </w:p>
    <w:p w14:paraId="71B412A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数据库工程师：数据库部署、调优、备份。</w:t>
      </w:r>
    </w:p>
    <w:p w14:paraId="243C182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应用实施工程师：应用配置、业务调试。</w:t>
      </w:r>
    </w:p>
    <w:p w14:paraId="3077BD07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接口开发或调试工程师：第三方接口联调。</w:t>
      </w:r>
    </w:p>
    <w:p w14:paraId="7C9B911A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测试负责人：用例设计、缺陷管理、回归验证。</w:t>
      </w:r>
    </w:p>
    <w:p w14:paraId="771A914C" w14:textId="77777777" w:rsidR="00FA299A" w:rsidRDefault="00000000">
      <w:pPr>
        <w:pStyle w:val="1"/>
        <w:spacing w:before="280" w:after="120" w:line="360" w:lineRule="auto"/>
      </w:pPr>
      <w:r>
        <w:rPr>
          <w:rFonts w:ascii="Times New Roman" w:eastAsia="黑体" w:hAnsi="Times New Roman"/>
          <w:color w:val="000000"/>
          <w:sz w:val="32"/>
        </w:rPr>
        <w:t>七、进度管控机制</w:t>
      </w:r>
    </w:p>
    <w:p w14:paraId="5144FE61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每日站会：汇报当日进展及阻塞问题。</w:t>
      </w:r>
    </w:p>
    <w:p w14:paraId="5EDFAD1F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周例会：输出周报并同步甲方。</w:t>
      </w:r>
    </w:p>
    <w:p w14:paraId="46016EF4" w14:textId="77777777" w:rsidR="00FA299A" w:rsidRDefault="00000000">
      <w:pPr>
        <w:spacing w:after="0" w:line="360" w:lineRule="auto"/>
        <w:ind w:left="420"/>
      </w:pPr>
      <w:r>
        <w:rPr>
          <w:rFonts w:ascii="Times New Roman" w:eastAsia="宋体" w:hAnsi="Times New Roman"/>
          <w:color w:val="000000"/>
          <w:sz w:val="24"/>
        </w:rPr>
        <w:t xml:space="preserve">· </w:t>
      </w:r>
      <w:r>
        <w:rPr>
          <w:rFonts w:ascii="Times New Roman" w:eastAsia="宋体" w:hAnsi="Times New Roman"/>
          <w:color w:val="000000"/>
          <w:sz w:val="24"/>
        </w:rPr>
        <w:t>阻塞问题升级机制：</w:t>
      </w:r>
      <w:r>
        <w:rPr>
          <w:rFonts w:ascii="Times New Roman" w:eastAsia="宋体" w:hAnsi="Times New Roman"/>
          <w:color w:val="000000"/>
          <w:sz w:val="24"/>
        </w:rPr>
        <w:t>12</w:t>
      </w:r>
      <w:r>
        <w:rPr>
          <w:rFonts w:ascii="Times New Roman" w:eastAsia="宋体" w:hAnsi="Times New Roman"/>
          <w:color w:val="000000"/>
          <w:sz w:val="24"/>
        </w:rPr>
        <w:t>小时内无法解决的问题升级至项目负责人。</w:t>
      </w:r>
    </w:p>
    <w:p w14:paraId="400A67AC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lastRenderedPageBreak/>
        <w:t xml:space="preserve">· </w:t>
      </w:r>
      <w:r>
        <w:rPr>
          <w:rFonts w:ascii="Times New Roman" w:eastAsia="宋体" w:hAnsi="Times New Roman"/>
          <w:color w:val="000000"/>
          <w:sz w:val="24"/>
        </w:rPr>
        <w:t>关键节点（基础环境完成、联调完成、试运行启动）需经甲方书面确认。</w:t>
      </w:r>
    </w:p>
    <w:p w14:paraId="6A3813F0" w14:textId="77777777" w:rsidR="00FA299A" w:rsidRPr="00C813E7" w:rsidRDefault="00000000" w:rsidP="00C813E7">
      <w:pPr>
        <w:pStyle w:val="1"/>
        <w:spacing w:before="280" w:after="120" w:line="360" w:lineRule="auto"/>
        <w:rPr>
          <w:rFonts w:ascii="Times New Roman" w:eastAsia="黑体" w:hAnsi="Times New Roman"/>
          <w:color w:val="000000"/>
          <w:sz w:val="32"/>
        </w:rPr>
      </w:pPr>
      <w:r>
        <w:rPr>
          <w:rFonts w:ascii="Times New Roman" w:eastAsia="黑体" w:hAnsi="Times New Roman" w:hint="eastAsia"/>
          <w:color w:val="000000"/>
          <w:sz w:val="32"/>
        </w:rPr>
        <w:t>八、项目实施计划</w:t>
      </w:r>
    </w:p>
    <w:p w14:paraId="0461D1F5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项目实施计划及过程文档方面，针对招标方提出的系统部署、测试、调试及后续工作的相关要求，我方将严格遵循并承诺如下：</w:t>
      </w:r>
    </w:p>
    <w:p w14:paraId="37C04978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安装调试计划提交</w:t>
      </w:r>
    </w:p>
    <w:p w14:paraId="66CF538A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在系统部署、测试、调试前，我方将提前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2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周向招标方提供详细的安装调试计划，内容将包括但不限于：</w:t>
      </w:r>
    </w:p>
    <w:p w14:paraId="3AC4B1E5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系统部署手册：详细描述系统部署的步骤、所需环境及注意事项，确保招标方能够依据手册顺利完成部署。</w:t>
      </w:r>
    </w:p>
    <w:p w14:paraId="26E97316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系统测试方案及计划：明确测试的目标、范围、方法以及预期结果，确保测试工作全面、有效。</w:t>
      </w:r>
    </w:p>
    <w:p w14:paraId="64F0E51D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安装调试进度安排：详细列出安装调试的各个阶段及其时间节点，确保项目按计划推进。</w:t>
      </w:r>
    </w:p>
    <w:p w14:paraId="0892666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实施人员列表：提供参与安装调试工作的所有人员名单及其职责分工，确保人员配置合理、高效。</w:t>
      </w:r>
    </w:p>
    <w:p w14:paraId="736E265F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调试方法：阐述具体的调试步骤和技巧，确保系统调试的准确性和效率。</w:t>
      </w:r>
    </w:p>
    <w:p w14:paraId="63C2FEE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调试工具准备：列出所需的调试工具及其使用说明，确保调试工作的顺利进行。</w:t>
      </w:r>
    </w:p>
    <w:p w14:paraId="4AB8B4A9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安装调试环境准备：说明安装调试所需的环境条件及准备工作，确保环境满足系统部署和测试的要求。</w:t>
      </w:r>
    </w:p>
    <w:p w14:paraId="2AF796B4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其他准备工作：包括必要的培训、资料准备等，确保安装调试工作的全面性和完整性。</w:t>
      </w:r>
    </w:p>
    <w:p w14:paraId="775D5306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测试报告提交</w:t>
      </w:r>
    </w:p>
    <w:p w14:paraId="5247130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安装调试完成后，我方将及时向招标方提交测试报告，内容将包括：</w:t>
      </w:r>
    </w:p>
    <w:p w14:paraId="0BB0D0BA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测试调试结果及详细记录：提供测试调试过程中的详细数据、截图和日志等信息，确保招标方能够依据文档正确重复部署过程。</w:t>
      </w:r>
    </w:p>
    <w:p w14:paraId="19442E5D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lastRenderedPageBreak/>
        <w:t>问题及解决办法：列举在部署调试过程中遇到的所有问题及其相应的解决办法，为招标方今后的维护提供参考。</w:t>
      </w:r>
    </w:p>
    <w:p w14:paraId="67B3618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系统集成与互联互通</w:t>
      </w:r>
    </w:p>
    <w:p w14:paraId="67B062C9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我方将严格按照系统集成章节的要求，完成系统的安装调试工作，确保新购设备、软件和已有软、硬件设备间的互联互通。在此过程中，我方将积极与招标方沟通协作，确保系统集成工作的顺利进行。</w:t>
      </w:r>
    </w:p>
    <w:p w14:paraId="74CA9973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工具与材料提供</w:t>
      </w:r>
    </w:p>
    <w:p w14:paraId="1B6DC837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在系统建设过程中，所需的工具以及安装材料均由我方负责解决，相关费用均由我方承担。我方将确保提供的工具和材料符合项目需求，并能够满足安装调试工作的需要。</w:t>
      </w:r>
    </w:p>
    <w:p w14:paraId="5DA6AE23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技术支持与文档提供</w:t>
      </w:r>
    </w:p>
    <w:p w14:paraId="5E734B7B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在安装、调试过程中，我方将对招标方技术人员提出的技术问题给予及时、满意的答复。同时，我方将向招标方提供安装调试过程中的各种文档资料，包括操作手册、维护指南等，以便招标方今后能够独立掌握操作方法和维护方法。</w:t>
      </w:r>
    </w:p>
    <w:p w14:paraId="0823949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测试计划与方法提交</w:t>
      </w:r>
    </w:p>
    <w:p w14:paraId="58071AD9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将向招标方提交详细的测试计划和方法。测试计划和测试内容将由我方根据项目实际情况拟定，并经过招标方的确认。在测试过程中，如发生任何软、硬件故障，我方将立即更换不合格的部件（包括软件），并重新进行安装测试，由此产生的全部费用将由我方承担。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 xml:space="preserve"> </w:t>
      </w:r>
      <w:bookmarkStart w:id="0" w:name="_Toc167871050"/>
    </w:p>
    <w:p w14:paraId="239DDC1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bookmarkStart w:id="1" w:name="_Toc30483"/>
      <w:r>
        <w:rPr>
          <w:rFonts w:ascii="Times New Roman" w:eastAsia="宋体" w:hAnsi="Times New Roman" w:hint="eastAsia"/>
          <w:color w:val="000000"/>
          <w:sz w:val="24"/>
          <w:lang w:eastAsia="zh-CN"/>
        </w:rPr>
        <w:t>4.7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项目培训</w:t>
      </w:r>
      <w:bookmarkEnd w:id="0"/>
      <w:bookmarkEnd w:id="1"/>
    </w:p>
    <w:p w14:paraId="7A10147F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在项目培训方面，我方提供全面而细致的培训方案，以确保招标方的相关人员能够熟练掌握系统操作和管理，并具备排除故障的能力。我方承诺对甲方的操作和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IT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人员提供免费培训，培训人数和培训地点由甲方确定，培训内容主要包括：基本原理、操作使用、软件运行维护等相关操作知识，确保甲方人员具备该软件的日常使用、维护等能力。</w:t>
      </w:r>
    </w:p>
    <w:p w14:paraId="55EF3F4D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以下是具体培训方案内容：</w:t>
      </w:r>
    </w:p>
    <w:p w14:paraId="565C4DDB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培训时间和内容安排</w:t>
      </w:r>
    </w:p>
    <w:p w14:paraId="2E239F14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lastRenderedPageBreak/>
        <w:t>培训时间：具体时间将由招标方安排，我方将全力配合，确保双方商定的时间得到充分利用。</w:t>
      </w:r>
    </w:p>
    <w:p w14:paraId="279A97E9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培训内容</w:t>
      </w:r>
    </w:p>
    <w:p w14:paraId="70C290B8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产品部署培训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: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我方详细介绍系统软件的安装、配置及部署流程，确保甲方人员能够独立完成系统的初始化设置。</w:t>
      </w:r>
    </w:p>
    <w:p w14:paraId="7336E331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系统操作培训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: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我方会针对系统的基本操作和常用功能进行详细讲解，使甲方人员能够熟练进行系统操作。</w:t>
      </w:r>
    </w:p>
    <w:p w14:paraId="1BB6D4DA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系统管理使用培训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: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我方会深入介绍系统的管理功能，包括用户管理、权限分配、系统监控等，使甲方人员能够有效管理系统资源。</w:t>
      </w:r>
    </w:p>
    <w:p w14:paraId="50106106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权限管理模块操作使用培训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: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我方会详细讲解权限管理模块的功能和操作，确保甲方人员能够根据需要设置和调整用户权限。</w:t>
      </w:r>
    </w:p>
    <w:p w14:paraId="1F66F501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故障排除培训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:</w:t>
      </w:r>
      <w:r>
        <w:rPr>
          <w:rFonts w:ascii="Times New Roman" w:eastAsia="宋体" w:hAnsi="Times New Roman" w:hint="eastAsia"/>
          <w:color w:val="000000"/>
          <w:sz w:val="24"/>
          <w:lang w:eastAsia="zh-CN"/>
        </w:rPr>
        <w:t>针对可能出现的系统故障，提供解决方案和故障排除技巧，使甲方人员能够独立应对常见问题。</w:t>
      </w:r>
    </w:p>
    <w:p w14:paraId="4BD1E853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培训方式</w:t>
      </w:r>
    </w:p>
    <w:p w14:paraId="4ECAA48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将安排经验丰富的技术员到招标方所在地进行现场培训。技术员将根据双方商定的时间、内容、要求，对招标方相关人员进行一对一或小组形式的培训。培训过程中，技术员将耐心解答问题，确保招标方人员能够充分理解和掌握培训内容。</w:t>
      </w:r>
    </w:p>
    <w:p w14:paraId="4F158F00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培训效果评价与记录</w:t>
      </w:r>
    </w:p>
    <w:p w14:paraId="091BDE4D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培训记录：培训过程中，我方将详细记录培训内容、培训方式、参与人员及培训效果等信息，以便后续跟进和评估。</w:t>
      </w:r>
    </w:p>
    <w:p w14:paraId="0D2BE7A6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培训效果评价：培训结束后，我方将对培训效果进行评价，确保甲方人员达到熟练程度。如有需要，我方还将提供后续的辅导和支持。</w:t>
      </w:r>
    </w:p>
    <w:p w14:paraId="68627D34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培训资料提供</w:t>
      </w:r>
    </w:p>
    <w:p w14:paraId="256A330C" w14:textId="77777777" w:rsidR="00FA299A" w:rsidRDefault="00000000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  <w:lang w:eastAsia="zh-CN"/>
        </w:rPr>
      </w:pPr>
      <w:r>
        <w:rPr>
          <w:rFonts w:ascii="Times New Roman" w:eastAsia="宋体" w:hAnsi="Times New Roman" w:hint="eastAsia"/>
          <w:color w:val="000000"/>
          <w:sz w:val="24"/>
          <w:lang w:eastAsia="zh-CN"/>
        </w:rPr>
        <w:t>我方将免费提供培训教程和详细的使用说明书，包括电子版和纸质版各一套。这些资料将作为甲方人员学习和参考的重要资料，帮助用户更好地掌握系统操作和管理技能。</w:t>
      </w:r>
    </w:p>
    <w:p w14:paraId="76351033" w14:textId="77777777" w:rsidR="00FA299A" w:rsidRDefault="00FA299A">
      <w:pPr>
        <w:spacing w:after="0" w:line="360" w:lineRule="auto"/>
        <w:ind w:left="420"/>
        <w:rPr>
          <w:rFonts w:ascii="Times New Roman" w:eastAsia="宋体" w:hAnsi="Times New Roman"/>
          <w:color w:val="000000"/>
          <w:sz w:val="24"/>
        </w:rPr>
        <w:sectPr w:rsidR="00FA299A">
          <w:footerReference w:type="default" r:id="rId8"/>
          <w:pgSz w:w="12240" w:h="15840"/>
          <w:pgMar w:top="1445" w:right="1097" w:bottom="1466" w:left="1800" w:header="720" w:footer="720" w:gutter="0"/>
          <w:cols w:space="720"/>
        </w:sectPr>
      </w:pPr>
    </w:p>
    <w:p w14:paraId="6CBB613F" w14:textId="77777777" w:rsidR="00FA299A" w:rsidRDefault="00FA299A">
      <w:pPr>
        <w:spacing w:after="0" w:line="360" w:lineRule="auto"/>
        <w:rPr>
          <w:rFonts w:ascii="Times New Roman" w:eastAsia="宋体" w:hAnsi="Times New Roman"/>
          <w:color w:val="000000"/>
          <w:sz w:val="24"/>
          <w:lang w:eastAsia="zh-CN"/>
        </w:rPr>
      </w:pPr>
    </w:p>
    <w:sectPr w:rsidR="00FA299A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6E88A" w14:textId="77777777" w:rsidR="00391306" w:rsidRDefault="00391306">
      <w:pPr>
        <w:spacing w:line="240" w:lineRule="auto"/>
      </w:pPr>
      <w:r>
        <w:separator/>
      </w:r>
    </w:p>
  </w:endnote>
  <w:endnote w:type="continuationSeparator" w:id="0">
    <w:p w14:paraId="0987F7E8" w14:textId="77777777" w:rsidR="00391306" w:rsidRDefault="003913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8737" w14:textId="77777777" w:rsidR="00FA299A" w:rsidRDefault="00000000">
    <w:pPr>
      <w:pStyle w:val="ab"/>
      <w:tabs>
        <w:tab w:val="clear" w:pos="4680"/>
        <w:tab w:val="clear" w:pos="9360"/>
        <w:tab w:val="center" w:pos="4153"/>
        <w:tab w:val="right" w:pos="8306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112</w:t>
    </w:r>
    <w:r>
      <w:rPr>
        <w:lang w:val="zh-CN"/>
      </w:rPr>
      <w:fldChar w:fldCharType="end"/>
    </w:r>
  </w:p>
  <w:p w14:paraId="1D3E1FC0" w14:textId="77777777" w:rsidR="00FA299A" w:rsidRDefault="00FA299A">
    <w:pPr>
      <w:spacing w:after="0"/>
      <w:ind w:lef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A2D5" w14:textId="77777777" w:rsidR="00391306" w:rsidRDefault="00391306">
      <w:pPr>
        <w:spacing w:after="0"/>
      </w:pPr>
      <w:r>
        <w:separator/>
      </w:r>
    </w:p>
  </w:footnote>
  <w:footnote w:type="continuationSeparator" w:id="0">
    <w:p w14:paraId="599B9452" w14:textId="77777777" w:rsidR="00391306" w:rsidRDefault="003913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2108480">
    <w:abstractNumId w:val="1"/>
  </w:num>
  <w:num w:numId="2" w16cid:durableId="1715084208">
    <w:abstractNumId w:val="4"/>
  </w:num>
  <w:num w:numId="3" w16cid:durableId="552810882">
    <w:abstractNumId w:val="5"/>
  </w:num>
  <w:num w:numId="4" w16cid:durableId="2132358723">
    <w:abstractNumId w:val="2"/>
  </w:num>
  <w:num w:numId="5" w16cid:durableId="1800761044">
    <w:abstractNumId w:val="0"/>
  </w:num>
  <w:num w:numId="6" w16cid:durableId="1383287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1306"/>
    <w:rsid w:val="006F0EF8"/>
    <w:rsid w:val="00AA1D8D"/>
    <w:rsid w:val="00B47730"/>
    <w:rsid w:val="00C813E7"/>
    <w:rsid w:val="00CB0664"/>
    <w:rsid w:val="00F10078"/>
    <w:rsid w:val="00FA299A"/>
    <w:rsid w:val="00FC693F"/>
    <w:rsid w:val="0774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08CDEF"/>
  <w14:defaultImageDpi w14:val="300"/>
  <w15:docId w15:val="{9201BD92-A4EB-4782-9012-6A38B31D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 w:qFormat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 w:qFormat="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 w:qFormat="1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2620</Words>
  <Characters>2673</Characters>
  <Application>Microsoft Office Word</Application>
  <DocSecurity>0</DocSecurity>
  <Lines>121</Lines>
  <Paragraphs>182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yan cheng</cp:lastModifiedBy>
  <cp:revision>3</cp:revision>
  <dcterms:created xsi:type="dcterms:W3CDTF">2026-10-29T04:24:00Z</dcterms:created>
  <dcterms:modified xsi:type="dcterms:W3CDTF">2026-10-29T04:24:00Z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eyJoZGlkIjoiODM0OTFhNDA1YWQ3ZGJkYmRmYjlkNWNjMGUyMzA3NWEiLCJ1c2VySWQiOiI1MDcwNTg0NjAifQ==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29E398CCBEDC42BA97B5769E3DF5B025_13</vt:lpwstr>
  </property>
</Properties>
</file>